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44"/>
          <w:szCs w:val="4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u w:val="single"/>
          <w:rtl w:val="0"/>
        </w:rPr>
        <w:t xml:space="preserve">Infra Structure and Learning Resources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0.0" w:type="dxa"/>
        <w:jc w:val="left"/>
        <w:tblInd w:w="0.0" w:type="dxa"/>
        <w:tblLayout w:type="fixed"/>
        <w:tblLook w:val="0400"/>
      </w:tblPr>
      <w:tblGrid>
        <w:gridCol w:w="2197"/>
        <w:gridCol w:w="1747"/>
        <w:gridCol w:w="2213"/>
        <w:gridCol w:w="1685"/>
        <w:gridCol w:w="264"/>
        <w:gridCol w:w="1687"/>
        <w:gridCol w:w="3147"/>
        <w:tblGridChange w:id="0">
          <w:tblGrid>
            <w:gridCol w:w="2197"/>
            <w:gridCol w:w="1747"/>
            <w:gridCol w:w="2213"/>
            <w:gridCol w:w="1685"/>
            <w:gridCol w:w="264"/>
            <w:gridCol w:w="1687"/>
            <w:gridCol w:w="3147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8c8d8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Indicator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8c8d8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2017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8c8d8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8c8d8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8c8d8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8c8d8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2021 </w:t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c00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Facilities</w:t>
            </w:r>
          </w:p>
        </w:tc>
        <w:tc>
          <w:tcPr>
            <w:gridSpan w:val="5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bdb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 situated in Kalam center, KGMU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bdb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Having own building as per the INC guidelines </w:t>
            </w:r>
          </w:p>
        </w:tc>
      </w:tr>
      <w:tr>
        <w:trPr>
          <w:cantSplit w:val="0"/>
          <w:trHeight w:val="301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c00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Clinical and Laboratory resource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5fdfa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Nursing foundation lab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Nutrion lab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CHN lab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MCH lab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Well equipped 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pledged Clinical area which enable students for rich clinical exposure 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5fdfa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 Nursing lab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Well equipped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pledged Clinical area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5fdfa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 lab 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Well equipped 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pledged Clinical area </w:t>
            </w:r>
          </w:p>
        </w:tc>
      </w:tr>
      <w:tr>
        <w:trPr>
          <w:cantSplit w:val="0"/>
          <w:trHeight w:val="173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c00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Library as a learning Resource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: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Books: 1632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Journals: 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: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Books: 2132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Journals:9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: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Books:3264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Journals:9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: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Books:3981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Journals:9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: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Books: 4136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Journals:9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